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01E0E" w:rsidRPr="0006733E" w:rsidP="00A01E0E" w14:paraId="31AEC639" w14:textId="6C1B6673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707967">
        <w:rPr>
          <w:b/>
          <w:sz w:val="28"/>
          <w:szCs w:val="28"/>
          <w:lang w:val="uk-UA"/>
        </w:rPr>
        <w:t>Котєнєва</w:t>
      </w:r>
      <w:r w:rsidRPr="00707967">
        <w:rPr>
          <w:b/>
          <w:sz w:val="28"/>
          <w:szCs w:val="28"/>
          <w:lang w:val="uk-UA"/>
        </w:rPr>
        <w:t xml:space="preserve"> І.Ю.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</w:t>
      </w:r>
      <w:r w:rsidRPr="00707967">
        <w:rPr>
          <w:sz w:val="28"/>
          <w:szCs w:val="28"/>
          <w:lang w:val="uk-UA"/>
        </w:rPr>
        <w:t>наліз схем розподілу секрету</w:t>
      </w:r>
      <w:r w:rsidRPr="00A01E0E">
        <w:rPr>
          <w:sz w:val="28"/>
          <w:szCs w:val="28"/>
          <w:lang w:val="uk-UA"/>
        </w:rPr>
        <w:t xml:space="preserve">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доц.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О.В. </w:t>
      </w:r>
      <w:r>
        <w:rPr>
          <w:sz w:val="28"/>
          <w:szCs w:val="28"/>
          <w:lang w:val="uk-UA"/>
        </w:rPr>
        <w:t>Онацький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6</w:t>
      </w:r>
      <w:r w:rsidRPr="0006733E">
        <w:rPr>
          <w:sz w:val="28"/>
          <w:szCs w:val="28"/>
          <w:lang w:val="uk-UA"/>
        </w:rPr>
        <w:t xml:space="preserve"> с.</w:t>
      </w:r>
    </w:p>
    <w:p w:rsidR="00A01E0E" w:rsidRPr="0006733E" w:rsidP="00A01E0E" w14:paraId="18F75792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01E0E" w:rsidRPr="0006733E" w:rsidP="00A01E0E" w14:paraId="63E72DDD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01E0E" w:rsidRPr="0006733E" w:rsidP="00A01E0E" w14:paraId="36D76F79" w14:textId="6F1784F0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707967">
        <w:rPr>
          <w:color w:val="000000"/>
          <w:sz w:val="28"/>
          <w:szCs w:val="28"/>
          <w:lang w:val="uk-UA"/>
        </w:rPr>
        <w:t xml:space="preserve">У магістерській роботі досліджені процеси розподілу секрету з урахуванням існуючих протоколів та схем. Серед досліджень визначено основні схеми, які можуть сформувати уявлення за темою та побудувати власні протоколи. Зокрема, було досліджено схеми розподілу секрету </w:t>
      </w:r>
      <w:r w:rsidRPr="00707967">
        <w:rPr>
          <w:color w:val="000000"/>
          <w:sz w:val="28"/>
          <w:szCs w:val="28"/>
          <w:lang w:val="uk-UA"/>
        </w:rPr>
        <w:t>Міньотта</w:t>
      </w:r>
      <w:r w:rsidRPr="00707967">
        <w:rPr>
          <w:color w:val="000000"/>
          <w:sz w:val="28"/>
          <w:szCs w:val="28"/>
          <w:lang w:val="uk-UA"/>
        </w:rPr>
        <w:t xml:space="preserve">, </w:t>
      </w:r>
      <w:r w:rsidRPr="00707967">
        <w:rPr>
          <w:color w:val="000000"/>
          <w:sz w:val="28"/>
          <w:szCs w:val="28"/>
          <w:lang w:val="uk-UA"/>
        </w:rPr>
        <w:t>Асмута-Блума</w:t>
      </w:r>
      <w:r w:rsidRPr="00707967">
        <w:rPr>
          <w:color w:val="000000"/>
          <w:sz w:val="28"/>
          <w:szCs w:val="28"/>
          <w:lang w:val="uk-UA"/>
        </w:rPr>
        <w:t xml:space="preserve">, </w:t>
      </w:r>
      <w:r w:rsidRPr="00707967">
        <w:rPr>
          <w:color w:val="000000"/>
          <w:sz w:val="28"/>
          <w:szCs w:val="28"/>
          <w:lang w:val="uk-UA"/>
        </w:rPr>
        <w:t>Блеклі</w:t>
      </w:r>
      <w:r w:rsidRPr="00707967">
        <w:rPr>
          <w:color w:val="000000"/>
          <w:sz w:val="28"/>
          <w:szCs w:val="28"/>
          <w:lang w:val="uk-UA"/>
        </w:rPr>
        <w:t xml:space="preserve"> та </w:t>
      </w:r>
      <w:r w:rsidRPr="00707967">
        <w:rPr>
          <w:color w:val="000000"/>
          <w:sz w:val="28"/>
          <w:szCs w:val="28"/>
          <w:lang w:val="uk-UA"/>
        </w:rPr>
        <w:t>Шаміра</w:t>
      </w:r>
      <w:r w:rsidRPr="00707967">
        <w:rPr>
          <w:color w:val="000000"/>
          <w:sz w:val="28"/>
          <w:szCs w:val="28"/>
          <w:lang w:val="uk-UA"/>
        </w:rPr>
        <w:t>, їх переваги та недоліки. Визначено, що збільшити ефективність протоколу можна за рахунок використання еліптичних кривих, що покращує процеси шифрування даних та вдосконалює процес цифрового підпису.</w:t>
      </w:r>
      <w:r w:rsidRPr="00707967">
        <w:t xml:space="preserve"> </w:t>
      </w:r>
      <w:r w:rsidRPr="00707967">
        <w:rPr>
          <w:color w:val="000000"/>
          <w:sz w:val="28"/>
          <w:szCs w:val="28"/>
          <w:lang w:val="uk-UA"/>
        </w:rPr>
        <w:t>В практичній частині роботи проведено аналіз стійкості схем розподілу секрету в мультиплікативних полях та на еліптичних кривих. Продемонстровано, що за рахунок модифікацій протоколи є більш стійкими та надійними відносно попередніх досліджень в даній галузі. В результаті, розроблено схеми розподілу секрету на основі алгоритму RSA та на основі еліптичних кривих. За рахунок модифікацій, а протоколи працюють стабільніше.</w:t>
      </w:r>
    </w:p>
    <w:p w:rsidR="00A01E0E" w:rsidRPr="00411776" w:rsidP="00A01E0E" w14:paraId="01DC35ED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A01E0E" w:rsidP="00A01E0E" w14:paraId="780D64B7" w14:textId="389D5EEE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707967" w:rsidR="00707967">
        <w:rPr>
          <w:sz w:val="28"/>
          <w:szCs w:val="28"/>
          <w:lang w:val="uk-UA"/>
        </w:rPr>
        <w:t>СХЕМИ РОЗПОДІЛУ СЕКРЕТУ, АЛГОРИТМ RSA, ЕЛІПТИЧНІ КРИВІ, МУЛЬТИПЛІКАТИВНІ ПОЛЯ, ІНФОРМАЦІЙНІ ТЕХНОЛОГІЇ</w:t>
      </w:r>
    </w:p>
    <w:p w:rsidR="00A01E0E" w:rsidP="00A01E0E" w14:paraId="34DDB359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A01E0E" w:rsidP="00A01E0E" w14:paraId="38363945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A01E0E">
      <w:pgSz w:w="11906" w:h="16838"/>
      <w:pgMar w:top="1134" w:right="850" w:bottom="1134" w:left="1701" w:header="708" w:footer="708" w:gutter="0"/>
      <w:pgNumType w:start="28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