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0C70AD" w:rsidRPr="0006733E" w:rsidP="000C70AD" w14:paraId="71E8BE58" w14:textId="24B549DC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Василенко А.Ю.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Метод комбінованого захисту інформації на основі ймовірнісного шифрування та ітеративного коду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д.т</w:t>
      </w:r>
      <w:r w:rsidRPr="0006733E">
        <w:rPr>
          <w:sz w:val="28"/>
          <w:szCs w:val="28"/>
          <w:lang w:val="uk-UA"/>
        </w:rPr>
        <w:t>.н</w:t>
      </w:r>
      <w:r w:rsidRPr="0006733E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проф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В.В. Корчинський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6</w:t>
      </w:r>
      <w:r w:rsidRPr="0006733E">
        <w:rPr>
          <w:sz w:val="28"/>
          <w:szCs w:val="28"/>
          <w:lang w:val="uk-UA"/>
        </w:rPr>
        <w:t xml:space="preserve"> с.</w:t>
      </w:r>
    </w:p>
    <w:p w:rsidR="000C70AD" w:rsidRPr="0006733E" w:rsidP="000C70AD" w14:paraId="08DB1954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0C70AD" w:rsidRPr="0006733E" w:rsidP="000C70AD" w14:paraId="58675998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0C70AD" w:rsidRPr="00411776" w:rsidP="000C70AD" w14:paraId="0FE51143" w14:textId="50749DE5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C70AD">
        <w:rPr>
          <w:color w:val="000000"/>
          <w:sz w:val="28"/>
          <w:szCs w:val="28"/>
          <w:lang w:val="uk-UA"/>
        </w:rPr>
        <w:t xml:space="preserve">В магістерській роботі запропоновано метод підвищення </w:t>
      </w:r>
      <w:r w:rsidRPr="000C70AD">
        <w:rPr>
          <w:color w:val="000000"/>
          <w:sz w:val="28"/>
          <w:szCs w:val="28"/>
          <w:lang w:val="uk-UA"/>
        </w:rPr>
        <w:t>криптостійкості</w:t>
      </w:r>
      <w:r w:rsidRPr="000C70AD">
        <w:rPr>
          <w:color w:val="000000"/>
          <w:sz w:val="28"/>
          <w:szCs w:val="28"/>
          <w:lang w:val="uk-UA"/>
        </w:rPr>
        <w:t xml:space="preserve"> шифрограм на основі імовірнісного шифрування, ітеративного кодування та </w:t>
      </w:r>
      <w:r w:rsidRPr="000C70AD">
        <w:rPr>
          <w:color w:val="000000"/>
          <w:sz w:val="28"/>
          <w:szCs w:val="28"/>
          <w:lang w:val="uk-UA"/>
        </w:rPr>
        <w:t>декореляції</w:t>
      </w:r>
      <w:r w:rsidRPr="000C70AD">
        <w:rPr>
          <w:color w:val="000000"/>
          <w:sz w:val="28"/>
          <w:szCs w:val="28"/>
          <w:lang w:val="uk-UA"/>
        </w:rPr>
        <w:t xml:space="preserve"> помилок. Даний метод дозволяє враховувати ентропію появи символів в повідомленні. Визначено, що основною проблемою при застосуванні такого криптографічного захисту є нерівномірність розподілу імовірності появи символів в повідомленні, яке призначено для шифрування. Надано аналіз ефективності імовірнісного кодування з точки зору протидії частотному аналізу.</w:t>
      </w:r>
    </w:p>
    <w:p w:rsidR="000C70AD" w:rsidRPr="0006733E" w:rsidP="000C70AD" w14:paraId="61D3E02D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411776">
        <w:rPr>
          <w:color w:val="000000"/>
          <w:sz w:val="28"/>
          <w:szCs w:val="28"/>
          <w:lang w:val="uk-UA"/>
        </w:rPr>
        <w:t>.</w:t>
      </w:r>
    </w:p>
    <w:p w:rsidR="000C70AD" w:rsidRPr="00411776" w:rsidP="000C70AD" w14:paraId="184BF7F7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0C70AD" w:rsidP="000C70AD" w14:paraId="35747B80" w14:textId="3C8BA00A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інформація, генератор, динамічний хаос, модуляція, кореляція, спектр, сигнатура, послідовність, </w:t>
      </w:r>
      <w:r w:rsidRPr="000C70AD">
        <w:rPr>
          <w:sz w:val="28"/>
          <w:szCs w:val="28"/>
          <w:lang w:val="uk-UA"/>
        </w:rPr>
        <w:t>шумоподібний</w:t>
      </w:r>
      <w:r w:rsidRPr="000C70AD">
        <w:rPr>
          <w:sz w:val="28"/>
          <w:szCs w:val="28"/>
          <w:lang w:val="uk-UA"/>
        </w:rPr>
        <w:t xml:space="preserve"> сигнал</w:t>
      </w:r>
    </w:p>
    <w:sectPr w:rsidSect="000C70AD">
      <w:pgSz w:w="11906" w:h="16838"/>
      <w:pgMar w:top="1134" w:right="850" w:bottom="1134" w:left="1701" w:header="708" w:footer="708" w:gutter="0"/>
      <w:pgNumType w:start="8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