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B1A98" w:rsidRPr="0006733E" w:rsidP="00AB1A98" w14:paraId="6D977E8B" w14:textId="6C7C3E6D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Гусак А.С</w:t>
      </w:r>
      <w:r>
        <w:rPr>
          <w:b/>
          <w:bCs/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Дослідження етапів управління неперервністю бізнесу сучасного підприємства </w:t>
      </w:r>
      <w:r w:rsidRPr="00E44F8E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ф</w:t>
      </w:r>
      <w:r>
        <w:rPr>
          <w:sz w:val="28"/>
          <w:szCs w:val="28"/>
          <w:lang w:val="uk-UA"/>
        </w:rPr>
        <w:t>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доц.</w:t>
      </w:r>
      <w:r>
        <w:rPr>
          <w:sz w:val="28"/>
          <w:szCs w:val="28"/>
          <w:lang w:val="uk-UA"/>
        </w:rPr>
        <w:t xml:space="preserve"> С.В. </w:t>
      </w:r>
      <w:r>
        <w:rPr>
          <w:sz w:val="28"/>
          <w:szCs w:val="28"/>
          <w:lang w:val="uk-UA"/>
        </w:rPr>
        <w:t>Стайкуца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83</w:t>
      </w:r>
      <w:r w:rsidRPr="0006733E">
        <w:rPr>
          <w:sz w:val="28"/>
          <w:szCs w:val="28"/>
          <w:lang w:val="uk-UA"/>
        </w:rPr>
        <w:t xml:space="preserve"> с.</w:t>
      </w:r>
    </w:p>
    <w:p w:rsidR="00AB1A98" w:rsidRPr="0006733E" w:rsidP="00AB1A98" w14:paraId="67DE8DA9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B1A98" w:rsidRPr="0006733E" w:rsidP="00AB1A98" w14:paraId="5FED6D46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B1A98" w:rsidRPr="00EC73B8" w:rsidP="00AB1A98" w14:paraId="32861150" w14:textId="2F1E02AD">
      <w:pPr>
        <w:pStyle w:val="BodyText"/>
        <w:spacing w:line="300" w:lineRule="auto"/>
        <w:ind w:firstLine="709"/>
        <w:jc w:val="both"/>
        <w:rPr>
          <w:color w:val="auto"/>
        </w:rPr>
      </w:pPr>
      <w:r w:rsidRPr="00AB1A98">
        <w:rPr>
          <w:color w:val="auto"/>
        </w:rPr>
        <w:t xml:space="preserve">В магістерській роботі розглянуто роль підприємств малого та середнього бізнесу в структурі держави, наведено класифікації. Розглянуто загрози та ризики ПМБ – як внутрішні, так і зовнішні. Наведено </w:t>
      </w:r>
      <w:r w:rsidRPr="00AB1A98">
        <w:rPr>
          <w:color w:val="auto"/>
        </w:rPr>
        <w:t>ризкоутворюючі</w:t>
      </w:r>
      <w:r w:rsidRPr="00AB1A98">
        <w:rPr>
          <w:color w:val="auto"/>
        </w:rPr>
        <w:t xml:space="preserve"> фактори виникнення загроз. В рамках застосування засобів захисту запропоновано використання технічних засобів охорони та спецзасобів щодо блокування каналів витоку відеоінформації. В рамках захисту корпоративної мережі використовуються системи протидії витокам (DLP) та додаткові методи з позиції NIST 7621.</w:t>
      </w:r>
    </w:p>
    <w:p w:rsidR="00AB1A98" w:rsidRPr="0006733E" w:rsidP="00AB1A98" w14:paraId="5C52FFB4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:rsidR="00AB1A98" w:rsidRPr="0006733E" w:rsidP="00AB1A98" w14:paraId="77288DD4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B1A98" w:rsidRPr="00AB1A98" w:rsidP="00AB1A98" w14:paraId="2517C6B8" w14:textId="157EC9FF">
      <w:pPr>
        <w:pStyle w:val="a0"/>
        <w:rPr>
          <w:sz w:val="28"/>
          <w:szCs w:val="28"/>
          <w:lang w:val="uk-UA"/>
        </w:rPr>
      </w:pPr>
      <w:r w:rsidRPr="00AB1A98">
        <w:rPr>
          <w:rFonts w:ascii="Times New Roman" w:hAnsi="Times New Roman"/>
          <w:b/>
          <w:sz w:val="28"/>
          <w:szCs w:val="28"/>
          <w:lang w:val="uk-UA" w:eastAsia="ru-RU"/>
        </w:rPr>
        <w:t>Ключові слова:</w:t>
      </w:r>
      <w:r w:rsidRPr="0006733E">
        <w:rPr>
          <w:sz w:val="28"/>
          <w:szCs w:val="28"/>
          <w:lang w:val="uk-UA"/>
        </w:rPr>
        <w:t xml:space="preserve"> </w:t>
      </w:r>
      <w:r w:rsidRPr="00AB1A98">
        <w:rPr>
          <w:rFonts w:ascii="Times New Roman" w:hAnsi="Times New Roman"/>
          <w:sz w:val="28"/>
          <w:szCs w:val="28"/>
          <w:lang w:val="uk-UA"/>
        </w:rPr>
        <w:t>малий бізнес</w:t>
      </w:r>
      <w:r w:rsidRPr="00AB1A98">
        <w:rPr>
          <w:rFonts w:ascii="Times New Roman" w:hAnsi="Times New Roman"/>
          <w:sz w:val="28"/>
          <w:szCs w:val="28"/>
          <w:lang w:val="uk-UA"/>
        </w:rPr>
        <w:t xml:space="preserve">, SWOT, </w:t>
      </w:r>
      <w:r w:rsidRPr="00AB1A98">
        <w:rPr>
          <w:rFonts w:ascii="Times New Roman" w:hAnsi="Times New Roman"/>
          <w:sz w:val="28"/>
          <w:szCs w:val="28"/>
          <w:lang w:val="uk-UA"/>
        </w:rPr>
        <w:t xml:space="preserve">економічна безпека, ризик,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AB1A98">
        <w:rPr>
          <w:rFonts w:ascii="Times New Roman" w:hAnsi="Times New Roman"/>
          <w:sz w:val="28"/>
          <w:szCs w:val="28"/>
          <w:lang w:val="uk-UA"/>
        </w:rPr>
        <w:t>дізес</w:t>
      </w:r>
      <w:r w:rsidRPr="00AB1A98">
        <w:rPr>
          <w:rFonts w:ascii="Times New Roman" w:hAnsi="Times New Roman"/>
          <w:sz w:val="28"/>
          <w:szCs w:val="28"/>
          <w:lang w:val="uk-UA"/>
        </w:rPr>
        <w:t xml:space="preserve">, життєвий цикл, </w:t>
      </w:r>
      <w:r w:rsidRPr="00AB1A98">
        <w:rPr>
          <w:rFonts w:ascii="Times New Roman" w:hAnsi="Times New Roman"/>
          <w:sz w:val="28"/>
          <w:szCs w:val="28"/>
          <w:lang w:val="uk-UA"/>
        </w:rPr>
        <w:t>business</w:t>
      </w:r>
      <w:r w:rsidRPr="00AB1A9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B1A98">
        <w:rPr>
          <w:rFonts w:ascii="Times New Roman" w:hAnsi="Times New Roman"/>
          <w:sz w:val="28"/>
          <w:szCs w:val="28"/>
          <w:lang w:val="uk-UA"/>
        </w:rPr>
        <w:t>continuity</w:t>
      </w:r>
      <w:r w:rsidRPr="00AB1A9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B1A98">
        <w:rPr>
          <w:rFonts w:ascii="Times New Roman" w:hAnsi="Times New Roman"/>
          <w:sz w:val="28"/>
          <w:szCs w:val="28"/>
          <w:lang w:val="uk-UA"/>
        </w:rPr>
        <w:t>management</w:t>
      </w:r>
      <w:r w:rsidRPr="00AB1A98">
        <w:rPr>
          <w:rFonts w:ascii="Times New Roman" w:hAnsi="Times New Roman"/>
          <w:sz w:val="28"/>
          <w:szCs w:val="28"/>
          <w:lang w:val="uk-UA"/>
        </w:rPr>
        <w:t xml:space="preserve">, ECP, BIA, RTO, </w:t>
      </w:r>
      <w:r w:rsidRPr="00AB1A98">
        <w:rPr>
          <w:rFonts w:ascii="Times New Roman" w:hAnsi="Times New Roman"/>
          <w:sz w:val="28"/>
          <w:szCs w:val="28"/>
          <w:lang w:val="uk-UA"/>
        </w:rPr>
        <w:t>неперервність бізнесу</w:t>
      </w:r>
      <w:r w:rsidRPr="00AB1A9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B1A98">
        <w:rPr>
          <w:rFonts w:ascii="Times New Roman" w:hAnsi="Times New Roman"/>
          <w:sz w:val="28"/>
          <w:szCs w:val="28"/>
          <w:lang w:val="uk-UA"/>
        </w:rPr>
        <w:t>стратегія</w:t>
      </w:r>
      <w:r w:rsidRPr="00AB1A98">
        <w:rPr>
          <w:rFonts w:ascii="Times New Roman" w:hAnsi="Times New Roman"/>
          <w:sz w:val="28"/>
          <w:szCs w:val="28"/>
          <w:lang w:val="uk-UA"/>
        </w:rPr>
        <w:t xml:space="preserve"> BCM, </w:t>
      </w:r>
      <w:r w:rsidRPr="00AB1A98">
        <w:rPr>
          <w:rFonts w:ascii="Times New Roman" w:hAnsi="Times New Roman"/>
          <w:sz w:val="28"/>
          <w:szCs w:val="28"/>
          <w:lang w:val="uk-UA"/>
        </w:rPr>
        <w:t>accenture</w:t>
      </w:r>
      <w:r w:rsidRPr="00AB1A98">
        <w:rPr>
          <w:rFonts w:ascii="Times New Roman" w:hAnsi="Times New Roman"/>
          <w:sz w:val="28"/>
          <w:szCs w:val="28"/>
          <w:lang w:val="uk-UA"/>
        </w:rPr>
        <w:t>, BS 25999, ISO 27002, COBIT</w:t>
      </w:r>
    </w:p>
    <w:p w:rsidR="00AB1A98" w:rsidRPr="00AB1A98" w:rsidP="00AB1A98" w14:paraId="69D5FE5E" w14:textId="1C2F56CA">
      <w:pPr>
        <w:pStyle w:val="a0"/>
        <w:spacing w:line="288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AB1A98" w:rsidP="00725A56" w14:paraId="3C17E6B9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