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5ECB9B99" w:rsidR="00886E43" w:rsidRPr="00666DD9" w:rsidRDefault="00145F36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Голуб М.С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145F36">
        <w:rPr>
          <w:rStyle w:val="css-96zuhp-word-diff"/>
          <w:sz w:val="28"/>
          <w:szCs w:val="28"/>
          <w:lang w:val="uk-UA"/>
        </w:rPr>
        <w:t>Дослідження та аналіз технічного регулювання в будівельній галузі України</w:t>
      </w:r>
      <w:r w:rsidR="00AB563C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В.О. Михайленко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80</w:t>
      </w:r>
      <w:bookmarkStart w:id="0" w:name="_GoBack"/>
      <w:bookmarkEnd w:id="0"/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93C54E4" w14:textId="77777777" w:rsidR="00145F36" w:rsidRPr="00145F36" w:rsidRDefault="00145F36" w:rsidP="00145F3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45F36">
        <w:rPr>
          <w:color w:val="000000"/>
          <w:sz w:val="28"/>
          <w:szCs w:val="28"/>
          <w:lang w:val="uk-UA"/>
        </w:rPr>
        <w:t>В кваліфікаційній роботі «Дослідження та аналіз технічного регулювання в будівельній галузі України» досліджуються питання розвитку технічного регулювання в будівельній сфері, підвищення якості завдяки впровадженню міжнародних стандартів та оцінка відповідності чинних нормативних актів євроінтеграційним зобов'язанням України.</w:t>
      </w:r>
    </w:p>
    <w:p w14:paraId="2A91884B" w14:textId="77777777" w:rsidR="00145F36" w:rsidRPr="00145F36" w:rsidRDefault="00145F36" w:rsidP="00145F3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45F36">
        <w:rPr>
          <w:color w:val="000000"/>
          <w:sz w:val="28"/>
          <w:szCs w:val="28"/>
          <w:lang w:val="uk-UA"/>
        </w:rPr>
        <w:t>Об’єкт дослідження: технічне регулювання у будівельній сфері.</w:t>
      </w:r>
    </w:p>
    <w:p w14:paraId="2C267A71" w14:textId="77777777" w:rsidR="00145F36" w:rsidRPr="00145F36" w:rsidRDefault="00145F36" w:rsidP="00145F3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45F36">
        <w:rPr>
          <w:color w:val="000000"/>
          <w:sz w:val="28"/>
          <w:szCs w:val="28"/>
          <w:lang w:val="uk-UA"/>
        </w:rPr>
        <w:t>Предмет дослідження: законодавча база технічного регулювання у будівельній сфері.</w:t>
      </w:r>
    </w:p>
    <w:p w14:paraId="5B3408AE" w14:textId="77777777" w:rsidR="00145F36" w:rsidRPr="00145F36" w:rsidRDefault="00145F36" w:rsidP="00145F3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45F36">
        <w:rPr>
          <w:color w:val="000000"/>
          <w:sz w:val="28"/>
          <w:szCs w:val="28"/>
          <w:lang w:val="uk-UA"/>
        </w:rPr>
        <w:t>Мета дослідження: аналіз системи технічного регулювання у сфері будівництва.</w:t>
      </w:r>
    </w:p>
    <w:p w14:paraId="763DEDEC" w14:textId="77777777" w:rsidR="00145F36" w:rsidRPr="00145F36" w:rsidRDefault="00145F36" w:rsidP="00145F36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45F36">
        <w:rPr>
          <w:color w:val="000000"/>
          <w:sz w:val="28"/>
          <w:szCs w:val="28"/>
          <w:lang w:val="uk-UA"/>
        </w:rPr>
        <w:t xml:space="preserve">Кваліфікаційна (магістерська) робота містить 5 розділів. Загальний обсяг роботи – 80 сторінок, 2 таблиці, 7 рисунки, 16 слайдів, 32 використаних джерела. </w:t>
      </w:r>
    </w:p>
    <w:p w14:paraId="524A38C0" w14:textId="40DD7A75" w:rsidR="0006733E" w:rsidRPr="0006733E" w:rsidRDefault="00145F36" w:rsidP="00145F3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145F36">
        <w:rPr>
          <w:color w:val="000000"/>
          <w:sz w:val="28"/>
          <w:szCs w:val="28"/>
          <w:lang w:val="uk-UA"/>
        </w:rPr>
        <w:t>Ключові слова: технічне регулювання, технічний регламент, будівництво, міжнародні стандарти, будівельна сфера, директива, оцінка відповідності.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02E28"/>
    <w:rsid w:val="00145F36"/>
    <w:rsid w:val="0022319F"/>
    <w:rsid w:val="003C0D9B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AB563C"/>
    <w:rsid w:val="00BC3CB0"/>
    <w:rsid w:val="00DA4A3D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ss-96zuhp-word-diff">
    <w:name w:val="css-96zuhp-word-diff"/>
    <w:basedOn w:val="a0"/>
    <w:rsid w:val="00AB56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15</cp:revision>
  <dcterms:created xsi:type="dcterms:W3CDTF">2024-10-07T10:10:00Z</dcterms:created>
  <dcterms:modified xsi:type="dcterms:W3CDTF">2024-11-26T16:42:00Z</dcterms:modified>
</cp:coreProperties>
</file>