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373D17" w:rsidRPr="0006733E" w:rsidP="00373D17" w14:paraId="559F1066" w14:textId="7554483C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435CFF">
        <w:rPr>
          <w:b/>
          <w:sz w:val="28"/>
          <w:szCs w:val="28"/>
          <w:lang w:val="uk-UA"/>
        </w:rPr>
        <w:t>Левандовська</w:t>
      </w:r>
      <w:r w:rsidRPr="00435CFF">
        <w:rPr>
          <w:b/>
          <w:sz w:val="28"/>
          <w:szCs w:val="28"/>
          <w:lang w:val="uk-UA"/>
        </w:rPr>
        <w:t xml:space="preserve"> О.В.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</w:t>
      </w:r>
      <w:r w:rsidRPr="00435CFF">
        <w:rPr>
          <w:sz w:val="28"/>
          <w:szCs w:val="28"/>
          <w:lang w:val="uk-UA"/>
        </w:rPr>
        <w:t xml:space="preserve">наліз міжнародних стандартів, політик та регламентів з </w:t>
      </w:r>
      <w:r w:rsidRPr="00435CFF">
        <w:rPr>
          <w:sz w:val="28"/>
          <w:szCs w:val="28"/>
          <w:lang w:val="uk-UA"/>
        </w:rPr>
        <w:t>кібербезпеки</w:t>
      </w:r>
      <w:r w:rsidRPr="00373D17">
        <w:rPr>
          <w:sz w:val="28"/>
          <w:szCs w:val="28"/>
          <w:lang w:val="uk-UA"/>
        </w:rPr>
        <w:t xml:space="preserve">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 xml:space="preserve">., доц. </w:t>
      </w:r>
      <w:r>
        <w:rPr>
          <w:sz w:val="28"/>
          <w:szCs w:val="28"/>
          <w:lang w:val="uk-UA"/>
        </w:rPr>
        <w:t xml:space="preserve">В.Й. </w:t>
      </w:r>
      <w:r>
        <w:rPr>
          <w:sz w:val="28"/>
          <w:szCs w:val="28"/>
          <w:lang w:val="uk-UA"/>
        </w:rPr>
        <w:t>Кільдішев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 xml:space="preserve">71 </w:t>
      </w:r>
      <w:r w:rsidRPr="0006733E">
        <w:rPr>
          <w:sz w:val="28"/>
          <w:szCs w:val="28"/>
          <w:lang w:val="uk-UA"/>
        </w:rPr>
        <w:t>с.</w:t>
      </w:r>
    </w:p>
    <w:p w:rsidR="00373D17" w:rsidRPr="0006733E" w:rsidP="00373D17" w14:paraId="5244EC73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373D17" w:rsidRPr="0006733E" w:rsidP="00373D17" w14:paraId="392FD7FC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373D17" w:rsidRPr="0006733E" w:rsidP="00373D17" w14:paraId="7B7DC113" w14:textId="72EA3DA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35CFF">
        <w:rPr>
          <w:color w:val="000000"/>
          <w:sz w:val="28"/>
          <w:szCs w:val="28"/>
          <w:lang w:val="uk-UA"/>
        </w:rPr>
        <w:t xml:space="preserve">В магістерській роботі проведено аналіз компонентів та </w:t>
      </w:r>
      <w:r w:rsidRPr="00435CFF">
        <w:rPr>
          <w:color w:val="000000"/>
          <w:sz w:val="28"/>
          <w:szCs w:val="28"/>
          <w:lang w:val="uk-UA"/>
        </w:rPr>
        <w:t>зв'язків</w:t>
      </w:r>
      <w:r w:rsidRPr="00435CFF">
        <w:rPr>
          <w:color w:val="000000"/>
          <w:sz w:val="28"/>
          <w:szCs w:val="28"/>
          <w:lang w:val="uk-UA"/>
        </w:rPr>
        <w:t xml:space="preserve"> в контексті документації з </w:t>
      </w:r>
      <w:r w:rsidRPr="00435CFF">
        <w:rPr>
          <w:color w:val="000000"/>
          <w:sz w:val="28"/>
          <w:szCs w:val="28"/>
          <w:lang w:val="uk-UA"/>
        </w:rPr>
        <w:t>кібербезпеки</w:t>
      </w:r>
      <w:r w:rsidRPr="00435CFF">
        <w:rPr>
          <w:color w:val="000000"/>
          <w:sz w:val="28"/>
          <w:szCs w:val="28"/>
          <w:lang w:val="uk-UA"/>
        </w:rPr>
        <w:t xml:space="preserve">, розглянуто базовий склад документації, ієрархічність в моделі </w:t>
      </w:r>
      <w:r w:rsidRPr="00435CFF">
        <w:rPr>
          <w:color w:val="000000"/>
          <w:sz w:val="28"/>
          <w:szCs w:val="28"/>
          <w:lang w:val="uk-UA"/>
        </w:rPr>
        <w:t>ComplianceForge</w:t>
      </w:r>
      <w:r w:rsidRPr="00435CFF">
        <w:rPr>
          <w:color w:val="000000"/>
          <w:sz w:val="28"/>
          <w:szCs w:val="28"/>
          <w:lang w:val="uk-UA"/>
        </w:rPr>
        <w:t xml:space="preserve">, досліджено основні блоки </w:t>
      </w:r>
      <w:r w:rsidRPr="00435CFF">
        <w:rPr>
          <w:color w:val="000000"/>
          <w:sz w:val="28"/>
          <w:szCs w:val="28"/>
          <w:lang w:val="uk-UA"/>
        </w:rPr>
        <w:t>Hierarchical</w:t>
      </w:r>
      <w:r w:rsidRPr="00435CFF">
        <w:rPr>
          <w:color w:val="000000"/>
          <w:sz w:val="28"/>
          <w:szCs w:val="28"/>
          <w:lang w:val="uk-UA"/>
        </w:rPr>
        <w:t xml:space="preserve"> </w:t>
      </w:r>
      <w:r w:rsidRPr="00435CFF">
        <w:rPr>
          <w:color w:val="000000"/>
          <w:sz w:val="28"/>
          <w:szCs w:val="28"/>
          <w:lang w:val="uk-UA"/>
        </w:rPr>
        <w:t>Cybersecurity</w:t>
      </w:r>
      <w:r w:rsidRPr="00435CFF">
        <w:rPr>
          <w:color w:val="000000"/>
          <w:sz w:val="28"/>
          <w:szCs w:val="28"/>
          <w:lang w:val="uk-UA"/>
        </w:rPr>
        <w:t xml:space="preserve"> </w:t>
      </w:r>
      <w:r w:rsidRPr="00435CFF">
        <w:rPr>
          <w:color w:val="000000"/>
          <w:sz w:val="28"/>
          <w:szCs w:val="28"/>
          <w:lang w:val="uk-UA"/>
        </w:rPr>
        <w:t>Governance</w:t>
      </w:r>
      <w:r w:rsidRPr="00435CFF">
        <w:rPr>
          <w:color w:val="000000"/>
          <w:sz w:val="28"/>
          <w:szCs w:val="28"/>
          <w:lang w:val="uk-UA"/>
        </w:rPr>
        <w:t xml:space="preserve"> </w:t>
      </w:r>
      <w:r w:rsidRPr="00435CFF">
        <w:rPr>
          <w:color w:val="000000"/>
          <w:sz w:val="28"/>
          <w:szCs w:val="28"/>
          <w:lang w:val="uk-UA"/>
        </w:rPr>
        <w:t>Framework</w:t>
      </w:r>
      <w:r w:rsidRPr="00435CFF">
        <w:rPr>
          <w:color w:val="000000"/>
          <w:sz w:val="28"/>
          <w:szCs w:val="28"/>
          <w:lang w:val="uk-UA"/>
        </w:rPr>
        <w:t xml:space="preserve"> (HCGF). В рамках аналізу стандартів та рекомендацій з </w:t>
      </w:r>
      <w:r w:rsidRPr="00435CFF">
        <w:rPr>
          <w:color w:val="000000"/>
          <w:sz w:val="28"/>
          <w:szCs w:val="28"/>
          <w:lang w:val="uk-UA"/>
        </w:rPr>
        <w:t>кібербезпеки</w:t>
      </w:r>
      <w:r w:rsidRPr="00435CFF">
        <w:rPr>
          <w:color w:val="000000"/>
          <w:sz w:val="28"/>
          <w:szCs w:val="28"/>
          <w:lang w:val="uk-UA"/>
        </w:rPr>
        <w:t xml:space="preserve"> розглянуто ISO 27001, ISO 27032, PCI DSS, NIST SP 800-53, NIST SP 800-171, NIST 7621, HIPAA, GDPR. Проведено порівняльний аналіз структур </w:t>
      </w:r>
      <w:r w:rsidRPr="00435CFF">
        <w:rPr>
          <w:color w:val="000000"/>
          <w:sz w:val="28"/>
          <w:szCs w:val="28"/>
          <w:lang w:val="uk-UA"/>
        </w:rPr>
        <w:t>кібербезпеки</w:t>
      </w:r>
      <w:r w:rsidRPr="00435CFF">
        <w:rPr>
          <w:color w:val="000000"/>
          <w:sz w:val="28"/>
          <w:szCs w:val="28"/>
          <w:lang w:val="uk-UA"/>
        </w:rPr>
        <w:t xml:space="preserve">. Розглянуто застосування фреймворків при побудові систем </w:t>
      </w:r>
      <w:r w:rsidRPr="00435CFF">
        <w:rPr>
          <w:color w:val="000000"/>
          <w:sz w:val="28"/>
          <w:szCs w:val="28"/>
          <w:lang w:val="uk-UA"/>
        </w:rPr>
        <w:t>кібербезпеки</w:t>
      </w:r>
      <w:r w:rsidRPr="00435CFF">
        <w:rPr>
          <w:color w:val="000000"/>
          <w:sz w:val="28"/>
          <w:szCs w:val="28"/>
          <w:lang w:val="uk-UA"/>
        </w:rPr>
        <w:t xml:space="preserve"> - </w:t>
      </w:r>
      <w:r w:rsidRPr="00435CFF">
        <w:rPr>
          <w:color w:val="000000"/>
          <w:sz w:val="28"/>
          <w:szCs w:val="28"/>
          <w:lang w:val="uk-UA"/>
        </w:rPr>
        <w:t>Secure</w:t>
      </w:r>
      <w:r w:rsidRPr="00435CFF">
        <w:rPr>
          <w:color w:val="000000"/>
          <w:sz w:val="28"/>
          <w:szCs w:val="28"/>
          <w:lang w:val="uk-UA"/>
        </w:rPr>
        <w:t xml:space="preserve"> </w:t>
      </w:r>
      <w:r w:rsidRPr="00435CFF">
        <w:rPr>
          <w:color w:val="000000"/>
          <w:sz w:val="28"/>
          <w:szCs w:val="28"/>
          <w:lang w:val="uk-UA"/>
        </w:rPr>
        <w:t>Controls</w:t>
      </w:r>
      <w:r w:rsidRPr="00435CFF">
        <w:rPr>
          <w:color w:val="000000"/>
          <w:sz w:val="28"/>
          <w:szCs w:val="28"/>
          <w:lang w:val="uk-UA"/>
        </w:rPr>
        <w:t xml:space="preserve"> </w:t>
      </w:r>
      <w:r w:rsidRPr="00435CFF">
        <w:rPr>
          <w:color w:val="000000"/>
          <w:sz w:val="28"/>
          <w:szCs w:val="28"/>
          <w:lang w:val="uk-UA"/>
        </w:rPr>
        <w:t>Framework</w:t>
      </w:r>
      <w:r w:rsidRPr="00435CFF">
        <w:rPr>
          <w:color w:val="000000"/>
          <w:sz w:val="28"/>
          <w:szCs w:val="28"/>
          <w:lang w:val="uk-UA"/>
        </w:rPr>
        <w:t xml:space="preserve"> (SCF) та NIST </w:t>
      </w:r>
      <w:r w:rsidRPr="00435CFF">
        <w:rPr>
          <w:color w:val="000000"/>
          <w:sz w:val="28"/>
          <w:szCs w:val="28"/>
          <w:lang w:val="uk-UA"/>
        </w:rPr>
        <w:t>Cybersecurity</w:t>
      </w:r>
      <w:r w:rsidRPr="00435CFF">
        <w:rPr>
          <w:color w:val="000000"/>
          <w:sz w:val="28"/>
          <w:szCs w:val="28"/>
          <w:lang w:val="uk-UA"/>
        </w:rPr>
        <w:t xml:space="preserve"> </w:t>
      </w:r>
      <w:r w:rsidRPr="00435CFF">
        <w:rPr>
          <w:color w:val="000000"/>
          <w:sz w:val="28"/>
          <w:szCs w:val="28"/>
          <w:lang w:val="uk-UA"/>
        </w:rPr>
        <w:t>Framework</w:t>
      </w:r>
      <w:r w:rsidRPr="00435CFF">
        <w:rPr>
          <w:color w:val="000000"/>
          <w:sz w:val="28"/>
          <w:szCs w:val="28"/>
          <w:lang w:val="uk-UA"/>
        </w:rPr>
        <w:t>.</w:t>
      </w:r>
    </w:p>
    <w:p w:rsidR="00373D17" w:rsidRPr="00411776" w:rsidP="00373D17" w14:paraId="2264F0A3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373D17" w:rsidP="00373D17" w14:paraId="15706513" w14:textId="359B37A8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435CFF" w:rsidR="00435CFF">
        <w:rPr>
          <w:sz w:val="28"/>
          <w:szCs w:val="28"/>
          <w:lang w:val="uk-UA"/>
        </w:rPr>
        <w:t>КІБЕРБЕЗПЕКА, ЗРІЛІСТЬ, COMPLIANCE FORGE, ПОЛІТИКА, РЕГЛАМЕНТ, СТАНДАРТ, SECURE CONTROLS FRAMEWORK, HCGF, ISO 27001, ISO 27032, PCI DSS, NIST SP 800-53, HIPAA, NIST(NISTIR) 7621, GDPR, ФРЕЙМВОРК, ІНТЕГРОВАНЕ КЕРУВАННЯ ЗАСОБАМИ КОНТРОЛЮ</w:t>
      </w:r>
    </w:p>
    <w:p w:rsidR="00373D17" w:rsidP="00373D17" w14:paraId="13E244CD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373D17" w:rsidP="00373D17" w14:paraId="6A76171B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373D17">
      <w:pgSz w:w="11906" w:h="16838"/>
      <w:pgMar w:top="1134" w:right="850" w:bottom="1134" w:left="1701" w:header="708" w:footer="708" w:gutter="0"/>
      <w:pgNumType w:start="3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