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89074A" w:rsidP="0089074A" w14:paraId="3F352352" w14:textId="55DBCE62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b/>
          <w:bCs/>
          <w:sz w:val="28"/>
          <w:szCs w:val="28"/>
          <w:lang w:val="uk-UA"/>
        </w:rPr>
        <w:t>Березинець</w:t>
      </w:r>
      <w:r w:rsidRPr="00BC6B4E">
        <w:rPr>
          <w:b/>
          <w:bCs/>
          <w:sz w:val="28"/>
          <w:szCs w:val="28"/>
          <w:lang w:val="uk-UA"/>
        </w:rPr>
        <w:t xml:space="preserve"> А.Д.</w:t>
      </w:r>
      <w:r>
        <w:rPr>
          <w:sz w:val="28"/>
          <w:szCs w:val="28"/>
          <w:lang w:val="uk-UA"/>
        </w:rPr>
        <w:t xml:space="preserve"> </w:t>
      </w:r>
      <w:r w:rsidRPr="0089074A">
        <w:rPr>
          <w:sz w:val="28"/>
          <w:szCs w:val="28"/>
          <w:lang w:val="uk-UA"/>
        </w:rPr>
        <w:t>С</w:t>
      </w:r>
      <w:r w:rsidRPr="0089074A">
        <w:rPr>
          <w:sz w:val="28"/>
          <w:szCs w:val="28"/>
          <w:lang w:val="uk-UA"/>
        </w:rPr>
        <w:t>труктурна модифікація ПІД регулятору для керування процесами зі</w:t>
      </w:r>
      <w:r>
        <w:rPr>
          <w:sz w:val="28"/>
          <w:szCs w:val="28"/>
          <w:lang w:val="uk-UA"/>
        </w:rPr>
        <w:t xml:space="preserve"> </w:t>
      </w:r>
      <w:r w:rsidRPr="0089074A">
        <w:rPr>
          <w:sz w:val="28"/>
          <w:szCs w:val="28"/>
          <w:lang w:val="uk-UA"/>
        </w:rPr>
        <w:t>зміною фазового стану</w:t>
      </w:r>
      <w:r w:rsidRPr="0006733E" w:rsidR="00BC6B4E">
        <w:rPr>
          <w:sz w:val="28"/>
          <w:szCs w:val="28"/>
        </w:rPr>
        <w:t>[</w:t>
      </w:r>
      <w:r w:rsidRPr="0006733E" w:rsidR="00BC6B4E">
        <w:rPr>
          <w:sz w:val="28"/>
          <w:szCs w:val="28"/>
          <w:lang w:val="uk-UA"/>
        </w:rPr>
        <w:t xml:space="preserve">кваліфікаційна </w:t>
      </w:r>
      <w:r w:rsidR="00BC6B4E">
        <w:rPr>
          <w:sz w:val="28"/>
          <w:szCs w:val="28"/>
          <w:lang w:val="uk-UA"/>
        </w:rPr>
        <w:t>(магістерська</w:t>
      </w:r>
      <w:r w:rsidRPr="0006733E" w:rsidR="00BC6B4E">
        <w:rPr>
          <w:sz w:val="28"/>
          <w:szCs w:val="28"/>
          <w:lang w:val="uk-UA"/>
        </w:rPr>
        <w:t xml:space="preserve">) робота зі спеціальності </w:t>
      </w:r>
      <w:r w:rsidR="00BC6B4E">
        <w:rPr>
          <w:sz w:val="28"/>
          <w:szCs w:val="28"/>
          <w:lang w:val="uk-UA"/>
        </w:rPr>
        <w:t>1</w:t>
      </w:r>
      <w:r w:rsidR="00BC6B4E">
        <w:rPr>
          <w:sz w:val="28"/>
          <w:szCs w:val="28"/>
          <w:lang w:val="uk-UA"/>
        </w:rPr>
        <w:t>51</w:t>
      </w:r>
      <w:r w:rsidRPr="0006733E" w:rsidR="00BC6B4E">
        <w:rPr>
          <w:sz w:val="28"/>
          <w:szCs w:val="28"/>
          <w:lang w:val="uk-UA"/>
        </w:rPr>
        <w:t xml:space="preserve"> </w:t>
      </w:r>
      <w:r w:rsidR="00891A7F">
        <w:rPr>
          <w:sz w:val="28"/>
          <w:szCs w:val="28"/>
          <w:lang w:val="uk-UA"/>
        </w:rPr>
        <w:t>«</w:t>
      </w:r>
      <w:r w:rsidR="00BC6B4E">
        <w:rPr>
          <w:sz w:val="28"/>
          <w:szCs w:val="28"/>
          <w:lang w:val="uk-UA"/>
        </w:rPr>
        <w:t>Автоматизація</w:t>
      </w:r>
      <w:r w:rsidR="00BC6B4E">
        <w:rPr>
          <w:sz w:val="28"/>
          <w:szCs w:val="28"/>
          <w:lang w:val="uk-UA"/>
        </w:rPr>
        <w:t xml:space="preserve"> та</w:t>
      </w:r>
      <w:r w:rsidR="00BC6B4E">
        <w:rPr>
          <w:sz w:val="28"/>
          <w:szCs w:val="28"/>
          <w:lang w:val="uk-UA"/>
        </w:rPr>
        <w:t xml:space="preserve"> комп’ютерно-інтегровані технології</w:t>
      </w:r>
      <w:r w:rsidRPr="0006733E" w:rsidR="00BC6B4E">
        <w:rPr>
          <w:sz w:val="28"/>
          <w:szCs w:val="28"/>
          <w:lang w:val="uk-UA"/>
        </w:rPr>
        <w:t>; ОПП «</w:t>
      </w:r>
      <w:r w:rsidR="00BC6B4E"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 w:rsidR="00BC6B4E">
        <w:rPr>
          <w:sz w:val="28"/>
          <w:szCs w:val="28"/>
          <w:lang w:val="uk-UA"/>
        </w:rPr>
        <w:t>»</w:t>
      </w:r>
      <w:r w:rsidRPr="0006733E" w:rsidR="00BC6B4E">
        <w:rPr>
          <w:sz w:val="28"/>
          <w:szCs w:val="28"/>
        </w:rPr>
        <w:t>]</w:t>
      </w:r>
      <w:r w:rsidRPr="0006733E" w:rsidR="00BC6B4E">
        <w:rPr>
          <w:sz w:val="28"/>
          <w:szCs w:val="28"/>
          <w:lang w:val="uk-UA"/>
        </w:rPr>
        <w:t xml:space="preserve"> / Наук. кер.: </w:t>
      </w:r>
      <w:r w:rsidR="00F45FF9">
        <w:rPr>
          <w:sz w:val="28"/>
          <w:szCs w:val="28"/>
          <w:lang w:val="uk-UA"/>
        </w:rPr>
        <w:t>к.т.н</w:t>
      </w:r>
      <w:r w:rsidR="00F45FF9">
        <w:rPr>
          <w:sz w:val="28"/>
          <w:szCs w:val="28"/>
          <w:lang w:val="uk-UA"/>
        </w:rPr>
        <w:t xml:space="preserve">., </w:t>
      </w:r>
      <w:r w:rsidR="00BC6B4E">
        <w:rPr>
          <w:sz w:val="28"/>
          <w:szCs w:val="28"/>
          <w:lang w:val="uk-UA"/>
        </w:rPr>
        <w:t>доц. А.</w:t>
      </w:r>
      <w:r w:rsidR="00BC6B4E">
        <w:rPr>
          <w:sz w:val="28"/>
          <w:szCs w:val="28"/>
          <w:lang w:val="uk-UA"/>
        </w:rPr>
        <w:t>О</w:t>
      </w:r>
      <w:r w:rsidR="00BC6B4E">
        <w:rPr>
          <w:sz w:val="28"/>
          <w:szCs w:val="28"/>
          <w:lang w:val="uk-UA"/>
        </w:rPr>
        <w:t xml:space="preserve">. </w:t>
      </w:r>
      <w:r w:rsidR="00BC6B4E">
        <w:rPr>
          <w:sz w:val="28"/>
          <w:szCs w:val="28"/>
          <w:lang w:val="uk-UA"/>
        </w:rPr>
        <w:t>Стопакевич</w:t>
      </w:r>
      <w:r w:rsidRPr="0006733E" w:rsidR="00BC6B4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 w:rsidR="009B3EE7">
        <w:rPr>
          <w:sz w:val="28"/>
          <w:szCs w:val="28"/>
          <w:lang w:val="uk-UA"/>
        </w:rPr>
        <w:t>4</w:t>
      </w:r>
      <w:r w:rsidRPr="0006733E" w:rsidR="00BC6B4E">
        <w:rPr>
          <w:sz w:val="28"/>
          <w:szCs w:val="28"/>
          <w:lang w:val="uk-UA"/>
        </w:rPr>
        <w:t xml:space="preserve">. </w:t>
      </w:r>
      <w:r w:rsidR="00BC6B4E">
        <w:rPr>
          <w:sz w:val="28"/>
          <w:szCs w:val="28"/>
          <w:lang w:val="uk-UA"/>
        </w:rPr>
        <w:t>86</w:t>
      </w:r>
      <w:r w:rsidRPr="0006733E" w:rsidR="00BC6B4E">
        <w:rPr>
          <w:sz w:val="28"/>
          <w:szCs w:val="28"/>
          <w:lang w:val="uk-UA"/>
        </w:rPr>
        <w:t xml:space="preserve"> с.</w:t>
      </w:r>
    </w:p>
    <w:p w:rsidR="00BC6B4E" w:rsidP="00BC6B4E" w14:paraId="18B8684C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</w:p>
    <w:p w:rsidR="00BC6B4E" w:rsidRPr="00362BBC" w:rsidP="00BC6B4E" w14:paraId="701E88DF" w14:textId="561257A0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BC6B4E" w:rsidRPr="00BC6B4E" w:rsidP="00305A29" w14:paraId="64E156D7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sz w:val="28"/>
          <w:szCs w:val="28"/>
          <w:lang w:val="uk-UA"/>
        </w:rPr>
        <w:t>Предмет дослідження – спеціальні структури систем керування для об’єктів з набухання.</w:t>
      </w:r>
    </w:p>
    <w:p w:rsidR="00BC6B4E" w:rsidRPr="00BC6B4E" w:rsidP="00305A29" w14:paraId="33CD5783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sz w:val="28"/>
          <w:szCs w:val="28"/>
          <w:lang w:val="uk-UA"/>
        </w:rPr>
        <w:t xml:space="preserve">Об’єкт дослідження – процеси керування технологічними об’єктами з набуханням з застосуванням регуляторів зі зворотнім зв’язком. </w:t>
      </w:r>
    </w:p>
    <w:p w:rsidR="00BC6B4E" w:rsidRPr="00BC6B4E" w:rsidP="00305A29" w14:paraId="67A31B8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sz w:val="28"/>
          <w:szCs w:val="28"/>
          <w:lang w:val="uk-UA"/>
        </w:rPr>
        <w:t xml:space="preserve">Мета дослідження – визначити типи та потенціал наявних спеціальних структур систем керування для об’єктів з набуханням, які можуть бути застосовані як дієві альтернативи ПІД-керуванню. </w:t>
      </w:r>
    </w:p>
    <w:p w:rsidR="00BC6B4E" w:rsidRPr="00BC6B4E" w:rsidP="00305A29" w14:paraId="49367FCE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sz w:val="28"/>
          <w:szCs w:val="28"/>
          <w:lang w:val="uk-UA"/>
        </w:rPr>
        <w:t xml:space="preserve">Задачі дослідження: </w:t>
      </w:r>
    </w:p>
    <w:p w:rsidR="00BC6B4E" w:rsidRPr="00BC6B4E" w:rsidP="00305A29" w14:paraId="4AD1E99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sz w:val="28"/>
          <w:szCs w:val="28"/>
          <w:lang w:val="uk-UA"/>
        </w:rPr>
        <w:t>1. Визначити сучасний стан наукової проблеми керування процесами з набуханням</w:t>
      </w:r>
    </w:p>
    <w:p w:rsidR="00BC6B4E" w:rsidRPr="00BC6B4E" w:rsidP="00305A29" w14:paraId="71FBF57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sz w:val="28"/>
          <w:szCs w:val="28"/>
          <w:lang w:val="uk-UA"/>
        </w:rPr>
        <w:t xml:space="preserve">2. Визначити переваги та недоліки підходу, що полягає в включенні до ПІД-регулятора спеціального додаткового компенсатора динаміки, пов’язаною з проявою нуля в правій півплощини.  </w:t>
      </w:r>
    </w:p>
    <w:p w:rsidR="00DC3CD2" w:rsidRPr="00885EF7" w:rsidP="00305A29" w14:paraId="12A122E2" w14:textId="6A04B05E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sz w:val="28"/>
          <w:szCs w:val="28"/>
          <w:lang w:val="uk-UA"/>
        </w:rPr>
        <w:t>3. Визначити переваги та недоліки підходу, що полягає в зміні закону керування на ПІД-подібний паралельний регулятор з двома ступенями свободи.</w:t>
      </w:r>
    </w:p>
    <w:p w:rsidR="00BC6B4E" w:rsidRPr="0089074A" w:rsidP="00BC6B4E" w14:paraId="1C3C11C3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2E5001" w:rsidP="00BC6B4E" w14:paraId="478214F8" w14:textId="0B130E3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з</w:t>
      </w:r>
      <w:r w:rsidRPr="00BC6B4E">
        <w:rPr>
          <w:sz w:val="28"/>
          <w:szCs w:val="28"/>
          <w:lang w:val="uk-UA"/>
        </w:rPr>
        <w:t>воротній, зв’язок, регулятор, нуль, стійкість, під, пі, модифікація, компенсатор, набухання, стійкість.</w:t>
      </w:r>
    </w:p>
    <w:sectPr>
      <w:pgSz w:w="11906" w:h="16838"/>
      <w:pgMar w:top="1134" w:right="850" w:bottom="1134" w:left="1701" w:header="708" w:footer="708" w:gutter="0"/>
      <w:pgNumType w:start="6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