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886E43" w:rsidRPr="0006733E" w:rsidP="0006733E" w14:paraId="71BDAA57" w14:textId="696A08CF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Апончук</w:t>
      </w:r>
      <w:r>
        <w:rPr>
          <w:b/>
          <w:sz w:val="28"/>
          <w:szCs w:val="28"/>
          <w:lang w:val="uk-UA"/>
        </w:rPr>
        <w:t xml:space="preserve"> О.В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Оцінка рівня захищеності інформаційно-комунікаційних систем ІТ компанії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 w:rsidRPr="0006733E" w:rsidR="00405136">
        <w:rPr>
          <w:sz w:val="28"/>
          <w:szCs w:val="28"/>
          <w:lang w:val="uk-UA"/>
        </w:rPr>
        <w:t xml:space="preserve">: </w:t>
      </w:r>
      <w:r w:rsidRPr="0006733E">
        <w:rPr>
          <w:sz w:val="28"/>
          <w:szCs w:val="28"/>
          <w:lang w:val="uk-UA"/>
        </w:rPr>
        <w:t xml:space="preserve"> </w:t>
      </w:r>
      <w:r w:rsidRPr="0006733E" w:rsidR="00405136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т.н</w:t>
      </w:r>
      <w:r>
        <w:rPr>
          <w:sz w:val="28"/>
          <w:szCs w:val="28"/>
          <w:lang w:val="uk-UA"/>
        </w:rPr>
        <w:t>.</w:t>
      </w:r>
      <w:r w:rsidRPr="0006733E" w:rsidR="0040513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доц</w:t>
      </w:r>
      <w:r w:rsidRPr="0006733E" w:rsidR="0040513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В.Г. Кононович</w:t>
      </w:r>
      <w:r w:rsidRPr="0006733E" w:rsidR="00405136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 w:rsidR="0040513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81</w:t>
      </w:r>
      <w:r w:rsidRPr="0006733E" w:rsidR="00405136">
        <w:rPr>
          <w:sz w:val="28"/>
          <w:szCs w:val="28"/>
          <w:lang w:val="uk-UA"/>
        </w:rPr>
        <w:t xml:space="preserve"> с.</w:t>
      </w:r>
    </w:p>
    <w:p w:rsidR="00405136" w:rsidRPr="0006733E" w:rsidP="0006733E" w14:paraId="143CB69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P="00AB1A98" w14:paraId="7834AA92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405136" w:rsidRPr="0006733E" w:rsidP="0006733E" w14:paraId="17809156" w14:textId="66DA24E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44F8E">
        <w:rPr>
          <w:color w:val="000000"/>
          <w:sz w:val="28"/>
          <w:szCs w:val="28"/>
          <w:lang w:val="uk-UA"/>
        </w:rPr>
        <w:t>У магістерській роботі досліджені методи кількісного аналізу ризиків ІБ. Запропонована методика застосування в кластерного аналізу при виділенні однорідних груп ризиків з різними показниками.</w:t>
      </w:r>
      <w:r>
        <w:rPr>
          <w:color w:val="000000"/>
          <w:sz w:val="28"/>
          <w:szCs w:val="28"/>
          <w:lang w:val="uk-UA"/>
        </w:rPr>
        <w:t xml:space="preserve"> </w:t>
      </w:r>
      <w:r w:rsidRPr="00E44F8E">
        <w:rPr>
          <w:color w:val="000000"/>
          <w:sz w:val="28"/>
          <w:szCs w:val="28"/>
          <w:lang w:val="uk-UA"/>
        </w:rPr>
        <w:t>В економічному розділі визначена економічно доцільна політика безпеки, розраховані збитки від реалізації можливих загроз і зіставлені з витратами на розробку і впровадження політики безпеки.</w:t>
      </w:r>
      <w:r>
        <w:rPr>
          <w:color w:val="000000"/>
          <w:sz w:val="28"/>
          <w:szCs w:val="28"/>
          <w:lang w:val="uk-UA"/>
        </w:rPr>
        <w:t xml:space="preserve"> </w:t>
      </w:r>
      <w:r w:rsidRPr="00E44F8E">
        <w:rPr>
          <w:color w:val="000000"/>
          <w:sz w:val="28"/>
          <w:szCs w:val="28"/>
          <w:lang w:val="uk-UA"/>
        </w:rPr>
        <w:t>Практичне значення роботи полягає в розробці методики оцінки ризиків, що дозволяє ефективно вирішувати завдання управління ризиками ІТ компанії.</w:t>
      </w:r>
    </w:p>
    <w:p w:rsidR="00467A62" w:rsidRPr="0006733E" w:rsidP="0006733E" w14:paraId="3A54521B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06733E" w:rsidP="00725A56" w14:paraId="4FDEA2AF" w14:textId="1FD46A0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E44F8E">
        <w:rPr>
          <w:sz w:val="28"/>
          <w:szCs w:val="28"/>
          <w:lang w:val="uk-UA"/>
        </w:rPr>
        <w:t>аналіз ризиків, інформаційна безпека, політика безпеки</w:t>
      </w:r>
    </w:p>
    <w:p w:rsidR="00E44F8E" w:rsidP="00725A56" w14:paraId="64EAEE0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E44F8E" w:rsidP="00725A56" w14:paraId="07DDD40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