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491E4D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Тумін</w:t>
      </w:r>
      <w:r w:rsidRPr="007A236A">
        <w:rPr>
          <w:rFonts w:ascii="Times New Roman" w:hAnsi="Times New Roman" w:cs="Times New Roman"/>
          <w:b/>
          <w:bCs/>
          <w:color w:val="000000" w:themeColor="text1"/>
          <w:spacing w:val="-3"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b/>
          <w:bCs/>
          <w:color w:val="000000" w:themeColor="text1"/>
          <w:spacing w:val="-4"/>
          <w:sz w:val="28"/>
          <w:szCs w:val="28"/>
          <w:lang w:val="uk-UA"/>
        </w:rPr>
        <w:t>І.О.</w:t>
      </w:r>
      <w:r w:rsidRPr="007A236A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Розробка</w:t>
      </w:r>
      <w:r w:rsidRPr="007A236A">
        <w:rPr>
          <w:rFonts w:ascii="Times New Roman" w:hAnsi="Times New Roman" w:cs="Times New Roman"/>
          <w:color w:val="000000" w:themeColor="text1"/>
          <w:spacing w:val="-7"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двовимірної</w:t>
      </w:r>
      <w:r w:rsidRPr="007A236A">
        <w:rPr>
          <w:rFonts w:ascii="Times New Roman" w:hAnsi="Times New Roman" w:cs="Times New Roman"/>
          <w:color w:val="000000" w:themeColor="text1"/>
          <w:spacing w:val="-6"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гри</w:t>
      </w:r>
      <w:r w:rsidRPr="007A236A">
        <w:rPr>
          <w:rFonts w:ascii="Times New Roman" w:hAnsi="Times New Roman" w:cs="Times New Roman"/>
          <w:color w:val="000000" w:themeColor="text1"/>
          <w:spacing w:val="-7"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платформер</w:t>
      </w:r>
      <w:r w:rsidRPr="007A236A">
        <w:rPr>
          <w:rFonts w:ascii="Times New Roman" w:hAnsi="Times New Roman" w:cs="Times New Roman"/>
          <w:color w:val="000000" w:themeColor="text1"/>
          <w:spacing w:val="-3"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7A236A">
        <w:rPr>
          <w:rFonts w:ascii="Times New Roman" w:hAnsi="Times New Roman" w:cs="Times New Roman"/>
          <w:color w:val="000000" w:themeColor="text1"/>
          <w:spacing w:val="-9"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програмному середовищі ігрового двигуна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Godot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 w:rsidR="00F12B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</w:t>
      </w:r>
      <w:r w:rsidRPr="007A236A" w:rsidR="00F12B2C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бакалаврська</w:t>
      </w:r>
      <w:r w:rsidRPr="007A236A" w:rsidR="00F12B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робота зі спеціальності 122 Комп’ютерні науки; ОПП «Комп’ютерні науки;»] / Наук. кер.: ст. </w:t>
      </w:r>
      <w:r w:rsidRPr="007A236A" w:rsidR="00F12B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7A236A" w:rsidR="00F12B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Северин М.В.; Державний університет інтелектуальних технологій і зв’язку. Одеса : ДУІТЗ, 2024.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42 с.</w:t>
      </w:r>
    </w:p>
    <w:p w:rsidR="0024770E" w:rsidRPr="007A236A" w:rsidP="002477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F12B2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проведено</w:t>
      </w:r>
      <w:r w:rsidRPr="007A236A" w:rsidR="00491E4D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дослідження та аналітичний огляд у створенні двомірної гри з використанням піксельної графіки. Проаналізовані методи побудови ігрових проектів, систем та механік. Розроблено загальну систему гри з урахуванням основних потреб користувачів.</w:t>
      </w:r>
    </w:p>
    <w:p w:rsidR="00F12B2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</w:p>
    <w:p w:rsidR="004679F6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двомірна гра, оптимізація, піксельна графіка,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платформер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налаштування систем, створення механік,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godot</w:t>
      </w:r>
    </w:p>
    <w:sectPr w:rsidSect="004679F6">
      <w:pgSz w:w="12240" w:h="15840"/>
      <w:pgMar w:top="1134" w:right="850" w:bottom="1134" w:left="1134" w:header="708" w:footer="708" w:gutter="0"/>
      <w:pgNumType w:start="6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