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73D17" w:rsidRPr="0006733E" w:rsidP="00373D17" w14:paraId="28CDCF91" w14:textId="07D28C54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373D17">
        <w:rPr>
          <w:b/>
          <w:sz w:val="28"/>
          <w:szCs w:val="28"/>
          <w:lang w:val="uk-UA"/>
        </w:rPr>
        <w:t>Корженко</w:t>
      </w:r>
      <w:r w:rsidRPr="00373D17">
        <w:rPr>
          <w:b/>
          <w:sz w:val="28"/>
          <w:szCs w:val="28"/>
          <w:lang w:val="uk-UA"/>
        </w:rPr>
        <w:t xml:space="preserve"> Є.В. </w:t>
      </w:r>
      <w:r>
        <w:rPr>
          <w:sz w:val="28"/>
          <w:szCs w:val="28"/>
          <w:lang w:val="uk-UA"/>
        </w:rPr>
        <w:t>Д</w:t>
      </w:r>
      <w:r w:rsidRPr="00373D17">
        <w:rPr>
          <w:sz w:val="28"/>
          <w:szCs w:val="28"/>
          <w:lang w:val="uk-UA"/>
        </w:rPr>
        <w:t xml:space="preserve">ослідження бізнес-середовища підприємства із застосуванням оптимальних інструментів оцінки ризиків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доц. І.А. </w:t>
      </w:r>
      <w:r>
        <w:rPr>
          <w:sz w:val="28"/>
          <w:szCs w:val="28"/>
          <w:lang w:val="uk-UA"/>
        </w:rPr>
        <w:t>Кірєєв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4</w:t>
      </w:r>
      <w:r w:rsidRPr="0006733E">
        <w:rPr>
          <w:sz w:val="28"/>
          <w:szCs w:val="28"/>
          <w:lang w:val="uk-UA"/>
        </w:rPr>
        <w:t xml:space="preserve"> с.</w:t>
      </w:r>
    </w:p>
    <w:p w:rsidR="00373D17" w:rsidRPr="0006733E" w:rsidP="00373D17" w14:paraId="7AA0C0EB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73D17" w:rsidRPr="0006733E" w:rsidP="00373D17" w14:paraId="0415F002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73D17" w:rsidRPr="00373D17" w:rsidP="00373D17" w14:paraId="58A54149" w14:textId="57530B26">
      <w:pPr>
        <w:spacing w:line="360" w:lineRule="exact"/>
        <w:ind w:firstLine="709"/>
        <w:jc w:val="both"/>
      </w:pPr>
      <w:r w:rsidRPr="00373D17">
        <w:rPr>
          <w:color w:val="000000"/>
          <w:sz w:val="28"/>
          <w:szCs w:val="28"/>
          <w:lang w:val="uk-UA"/>
        </w:rPr>
        <w:t>У магістерській роботі розглянута роль і значення у діяльності комерційного підприємства. Проведений аналіз внутрішнього і зовнішнього середовища підприємства. Проведено дослідження напрямку управління ризиками на прикладі сучасного підприємства.</w:t>
      </w:r>
      <w:r w:rsidRPr="00373D17">
        <w:rPr>
          <w:lang w:val="uk-UA"/>
        </w:rPr>
        <w:t xml:space="preserve"> </w:t>
      </w:r>
      <w:r w:rsidRPr="00373D17">
        <w:rPr>
          <w:color w:val="000000"/>
          <w:sz w:val="28"/>
          <w:szCs w:val="28"/>
          <w:lang w:val="uk-UA"/>
        </w:rPr>
        <w:t xml:space="preserve">В рамках аналізу міжнародних стандартів управління ризиками розглянуто стандарти ISO/IEC 27002, BSI, NIST 800-30 та </w:t>
      </w:r>
      <w:r w:rsidRPr="00373D17">
        <w:rPr>
          <w:color w:val="000000"/>
          <w:sz w:val="28"/>
          <w:szCs w:val="28"/>
          <w:lang w:val="uk-UA"/>
        </w:rPr>
        <w:t>CoBIT</w:t>
      </w:r>
      <w:r w:rsidRPr="00373D17">
        <w:rPr>
          <w:color w:val="000000"/>
          <w:sz w:val="28"/>
          <w:szCs w:val="28"/>
          <w:lang w:val="uk-UA"/>
        </w:rPr>
        <w:t xml:space="preserve">. Представлено основні етапи робот </w:t>
      </w:r>
      <w:r w:rsidRPr="00373D17">
        <w:rPr>
          <w:color w:val="000000"/>
          <w:sz w:val="28"/>
          <w:szCs w:val="28"/>
          <w:lang w:val="uk-UA"/>
        </w:rPr>
        <w:t>из</w:t>
      </w:r>
      <w:r w:rsidRPr="00373D17">
        <w:rPr>
          <w:color w:val="000000"/>
          <w:sz w:val="28"/>
          <w:szCs w:val="28"/>
          <w:lang w:val="uk-UA"/>
        </w:rPr>
        <w:t xml:space="preserve"> ризиками – ідентифікацію, оцінювання, вимірювання, оцінку загроз та вразливостей, вибір допустимого рівня ризику та вибір і оцінку </w:t>
      </w:r>
      <w:r w:rsidRPr="00373D17">
        <w:rPr>
          <w:color w:val="000000"/>
          <w:sz w:val="28"/>
          <w:szCs w:val="28"/>
          <w:lang w:val="uk-UA"/>
        </w:rPr>
        <w:t>контрмір</w:t>
      </w:r>
      <w:r w:rsidRPr="00373D17">
        <w:rPr>
          <w:color w:val="000000"/>
          <w:sz w:val="28"/>
          <w:szCs w:val="28"/>
          <w:lang w:val="uk-UA"/>
        </w:rPr>
        <w:t>. Детально представлено методи оцінювання інформаційних ризиків.</w:t>
      </w:r>
      <w:r>
        <w:rPr>
          <w:color w:val="000000"/>
          <w:sz w:val="28"/>
          <w:szCs w:val="28"/>
          <w:lang w:val="uk-UA"/>
        </w:rPr>
        <w:t xml:space="preserve"> </w:t>
      </w:r>
      <w:r w:rsidRPr="00373D17">
        <w:rPr>
          <w:color w:val="000000"/>
          <w:sz w:val="28"/>
          <w:szCs w:val="28"/>
          <w:lang w:val="uk-UA"/>
        </w:rPr>
        <w:t xml:space="preserve">Розглянуто роль загроз та ризиків в діяльності підприємства та їх вплив на активи. Представлено модель управління ризиками </w:t>
      </w:r>
      <w:r w:rsidRPr="00373D17">
        <w:rPr>
          <w:color w:val="000000"/>
          <w:sz w:val="28"/>
          <w:szCs w:val="28"/>
          <w:lang w:val="uk-UA"/>
        </w:rPr>
        <w:t>кібербезпеки</w:t>
      </w:r>
      <w:r w:rsidRPr="00373D17">
        <w:rPr>
          <w:color w:val="000000"/>
          <w:sz w:val="28"/>
          <w:szCs w:val="28"/>
          <w:lang w:val="uk-UA"/>
        </w:rPr>
        <w:t xml:space="preserve"> та конфіденційності даних (</w:t>
      </w:r>
      <w:r w:rsidRPr="00373D17">
        <w:rPr>
          <w:color w:val="000000"/>
          <w:sz w:val="28"/>
          <w:szCs w:val="28"/>
          <w:lang w:val="uk-UA"/>
        </w:rPr>
        <w:t>Security</w:t>
      </w:r>
      <w:r w:rsidRPr="00373D17">
        <w:rPr>
          <w:color w:val="000000"/>
          <w:sz w:val="28"/>
          <w:szCs w:val="28"/>
          <w:lang w:val="uk-UA"/>
        </w:rPr>
        <w:t xml:space="preserve"> &amp; </w:t>
      </w:r>
      <w:r w:rsidRPr="00373D17">
        <w:rPr>
          <w:color w:val="000000"/>
          <w:sz w:val="28"/>
          <w:szCs w:val="28"/>
          <w:lang w:val="uk-UA"/>
        </w:rPr>
        <w:t>Privacy</w:t>
      </w:r>
      <w:r w:rsidRPr="00373D17">
        <w:rPr>
          <w:color w:val="000000"/>
          <w:sz w:val="28"/>
          <w:szCs w:val="28"/>
          <w:lang w:val="uk-UA"/>
        </w:rPr>
        <w:t xml:space="preserve"> </w:t>
      </w:r>
      <w:r w:rsidRPr="00373D17">
        <w:rPr>
          <w:color w:val="000000"/>
          <w:sz w:val="28"/>
          <w:szCs w:val="28"/>
          <w:lang w:val="uk-UA"/>
        </w:rPr>
        <w:t>Risk</w:t>
      </w:r>
      <w:r w:rsidRPr="00373D17">
        <w:rPr>
          <w:color w:val="000000"/>
          <w:sz w:val="28"/>
          <w:szCs w:val="28"/>
          <w:lang w:val="uk-UA"/>
        </w:rPr>
        <w:t xml:space="preserve"> </w:t>
      </w:r>
      <w:r w:rsidRPr="00373D17">
        <w:rPr>
          <w:color w:val="000000"/>
          <w:sz w:val="28"/>
          <w:szCs w:val="28"/>
          <w:lang w:val="uk-UA"/>
        </w:rPr>
        <w:t>Management</w:t>
      </w:r>
      <w:r w:rsidRPr="00373D17">
        <w:rPr>
          <w:color w:val="000000"/>
          <w:sz w:val="28"/>
          <w:szCs w:val="28"/>
          <w:lang w:val="uk-UA"/>
        </w:rPr>
        <w:t xml:space="preserve"> </w:t>
      </w:r>
      <w:r w:rsidRPr="00373D17">
        <w:rPr>
          <w:color w:val="000000"/>
          <w:sz w:val="28"/>
          <w:szCs w:val="28"/>
          <w:lang w:val="uk-UA"/>
        </w:rPr>
        <w:t>Model</w:t>
      </w:r>
      <w:r w:rsidRPr="00373D17">
        <w:rPr>
          <w:color w:val="000000"/>
          <w:sz w:val="28"/>
          <w:szCs w:val="28"/>
          <w:lang w:val="uk-UA"/>
        </w:rPr>
        <w:t xml:space="preserve"> – SP-RMM) як універсальний спосіб управління ризиками. Досліджено етапи впровадження моделі SP-RMM.</w:t>
      </w:r>
    </w:p>
    <w:p w:rsidR="00373D17" w:rsidRPr="00411776" w:rsidP="00373D17" w14:paraId="56C66F13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73D17" w:rsidP="00373D17" w14:paraId="15A018C7" w14:textId="1B002A5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373D17">
        <w:rPr>
          <w:sz w:val="28"/>
          <w:szCs w:val="28"/>
          <w:lang w:val="uk-UA"/>
        </w:rPr>
        <w:t>РИЗИК, СТАНДАРТ, МЕТОДИКА ОЦІНКИ, ІДЕНТИФІКАЦІЯ РИЗИКІВ, МЕТОДИ ОЦІНЮВАННЯ РИЗИКІВ, МЕТОДИКА MICROSOFT, ІНФОРМАЦІЙНЕ СЕРЕДОВИЩЕ, РИЗИК, КАРТОГРАФУВАННЯ, РАДАР, МОДЕЛЬ БЕЗПЕКИ, ПАРАДИГМА, РУБІЖ ЗАХИСТУ, УПРАВЛІННЯ РИЗИКАМИ, КАТАЛОГ ЗАГРОЗ, МОДЕЛЬ УПРАВЛІННЯ РИЗИКАМИ КІБЕРБЕЗПЕКИ ТА КОНФІДЕНЦІЙНОСТІ</w:t>
      </w:r>
    </w:p>
    <w:p w:rsidR="00373D17" w:rsidP="00373D17" w14:paraId="39E33AD9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373D17" w:rsidP="00373D17" w14:paraId="5D556548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373D17">
      <w:pgSz w:w="11906" w:h="16838"/>
      <w:pgMar w:top="1134" w:right="850" w:bottom="1134" w:left="1701" w:header="708" w:footer="708" w:gutter="0"/>
      <w:pgNumType w:start="3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