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19506508" w14:textId="378FFCBB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373D17">
        <w:rPr>
          <w:b/>
          <w:sz w:val="28"/>
          <w:szCs w:val="28"/>
          <w:lang w:val="uk-UA"/>
        </w:rPr>
        <w:t>Гуренко А.С.</w:t>
      </w:r>
      <w:r w:rsidRPr="00373D17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Pr="00A01E0E">
        <w:rPr>
          <w:sz w:val="28"/>
          <w:szCs w:val="28"/>
          <w:lang w:val="uk-UA"/>
        </w:rPr>
        <w:t xml:space="preserve">еханізми захисту інформації в умовах радіоелектронного конфлікту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В.Й. </w:t>
      </w:r>
      <w:r>
        <w:rPr>
          <w:sz w:val="28"/>
          <w:szCs w:val="28"/>
          <w:lang w:val="uk-UA"/>
        </w:rPr>
        <w:t>Кільдішев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68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3C409835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151BFADB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6D734F9D" w14:textId="5143F1C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373D17">
        <w:rPr>
          <w:color w:val="000000"/>
          <w:sz w:val="28"/>
          <w:szCs w:val="28"/>
          <w:lang w:val="uk-UA"/>
        </w:rPr>
        <w:t xml:space="preserve">В магістерській роботі розглянуто можливі методичні рекомендації й рішення для забезпечення необхідної </w:t>
      </w:r>
      <w:r w:rsidRPr="00373D17">
        <w:rPr>
          <w:color w:val="000000"/>
          <w:sz w:val="28"/>
          <w:szCs w:val="28"/>
          <w:lang w:val="uk-UA"/>
        </w:rPr>
        <w:t>кіберстійкості</w:t>
      </w:r>
      <w:r w:rsidRPr="00373D17">
        <w:rPr>
          <w:color w:val="000000"/>
          <w:sz w:val="28"/>
          <w:szCs w:val="28"/>
          <w:lang w:val="uk-UA"/>
        </w:rPr>
        <w:t xml:space="preserve"> державних організацій і комерційних структур в умовах як відомих, так і раніше невідомих деструктивних впливів.</w:t>
      </w:r>
      <w:r>
        <w:rPr>
          <w:color w:val="000000"/>
          <w:sz w:val="28"/>
          <w:szCs w:val="28"/>
          <w:lang w:val="uk-UA"/>
        </w:rPr>
        <w:t xml:space="preserve"> </w:t>
      </w:r>
      <w:r w:rsidRPr="00373D17">
        <w:rPr>
          <w:color w:val="000000"/>
          <w:sz w:val="28"/>
          <w:szCs w:val="28"/>
          <w:lang w:val="uk-UA"/>
        </w:rPr>
        <w:t xml:space="preserve">Розглянуто загрози та ризики ПМБ – як внутрішні, так і зовнішні. Наведено </w:t>
      </w:r>
      <w:r w:rsidRPr="00373D17">
        <w:rPr>
          <w:color w:val="000000"/>
          <w:sz w:val="28"/>
          <w:szCs w:val="28"/>
          <w:lang w:val="uk-UA"/>
        </w:rPr>
        <w:t>ризикоутворюючі</w:t>
      </w:r>
      <w:r w:rsidRPr="00373D17">
        <w:rPr>
          <w:color w:val="000000"/>
          <w:sz w:val="28"/>
          <w:szCs w:val="28"/>
          <w:lang w:val="uk-UA"/>
        </w:rPr>
        <w:t xml:space="preserve"> фактори виникнення загроз. В рамках захисту корпоративної мережі використовуються додаткові методи з позиції NIST 7621. Розглянуто відомості про IT-інфраструктуру сучасного підприємства, розглянуто компонентний склад, вимоги до безперебійної роботи, представлено класифікацію IT-систем за рівнем безперервності.</w:t>
      </w:r>
      <w:r>
        <w:rPr>
          <w:color w:val="000000"/>
          <w:sz w:val="28"/>
          <w:szCs w:val="28"/>
          <w:lang w:val="uk-UA"/>
        </w:rPr>
        <w:t xml:space="preserve"> </w:t>
      </w:r>
      <w:r w:rsidRPr="00373D17">
        <w:rPr>
          <w:color w:val="000000"/>
          <w:sz w:val="28"/>
          <w:szCs w:val="28"/>
          <w:lang w:val="uk-UA"/>
        </w:rPr>
        <w:t xml:space="preserve">Розглянуто основні причини та мотивації щодо потреб малого бізнесу у використанні стратегій </w:t>
      </w:r>
      <w:r w:rsidRPr="00373D17">
        <w:rPr>
          <w:color w:val="000000"/>
          <w:sz w:val="28"/>
          <w:szCs w:val="28"/>
          <w:lang w:val="uk-UA"/>
        </w:rPr>
        <w:t>кіберзахисту</w:t>
      </w:r>
      <w:r w:rsidRPr="00373D17">
        <w:rPr>
          <w:color w:val="000000"/>
          <w:sz w:val="28"/>
          <w:szCs w:val="28"/>
          <w:lang w:val="uk-UA"/>
        </w:rPr>
        <w:t xml:space="preserve">. Проведено аналіз ресурсів NIST в напрямі </w:t>
      </w:r>
      <w:r w:rsidRPr="00373D17">
        <w:rPr>
          <w:color w:val="000000"/>
          <w:sz w:val="28"/>
          <w:szCs w:val="28"/>
          <w:lang w:val="uk-UA"/>
        </w:rPr>
        <w:t>кібербезпеки</w:t>
      </w:r>
      <w:r w:rsidRPr="00373D17">
        <w:rPr>
          <w:color w:val="000000"/>
          <w:sz w:val="28"/>
          <w:szCs w:val="28"/>
          <w:lang w:val="uk-UA"/>
        </w:rPr>
        <w:t xml:space="preserve"> малого бізнесу. Розглянуто NIST </w:t>
      </w:r>
      <w:r w:rsidRPr="00373D17">
        <w:rPr>
          <w:color w:val="000000"/>
          <w:sz w:val="28"/>
          <w:szCs w:val="28"/>
          <w:lang w:val="uk-UA"/>
        </w:rPr>
        <w:t>Cybersecurity</w:t>
      </w:r>
      <w:r w:rsidRPr="00373D17">
        <w:rPr>
          <w:color w:val="000000"/>
          <w:sz w:val="28"/>
          <w:szCs w:val="28"/>
          <w:lang w:val="uk-UA"/>
        </w:rPr>
        <w:t xml:space="preserve"> </w:t>
      </w:r>
      <w:r w:rsidRPr="00373D17">
        <w:rPr>
          <w:color w:val="000000"/>
          <w:sz w:val="28"/>
          <w:szCs w:val="28"/>
          <w:lang w:val="uk-UA"/>
        </w:rPr>
        <w:t>Framework</w:t>
      </w:r>
      <w:r w:rsidRPr="00373D17">
        <w:rPr>
          <w:color w:val="000000"/>
          <w:sz w:val="28"/>
          <w:szCs w:val="28"/>
          <w:lang w:val="uk-UA"/>
        </w:rPr>
        <w:t xml:space="preserve"> як дієвий інструмент захисту ПМБ від </w:t>
      </w:r>
      <w:r w:rsidRPr="00373D17">
        <w:rPr>
          <w:color w:val="000000"/>
          <w:sz w:val="28"/>
          <w:szCs w:val="28"/>
          <w:lang w:val="uk-UA"/>
        </w:rPr>
        <w:t>кіберзагроз</w:t>
      </w:r>
      <w:r w:rsidRPr="00373D17">
        <w:rPr>
          <w:color w:val="000000"/>
          <w:sz w:val="28"/>
          <w:szCs w:val="28"/>
          <w:lang w:val="uk-UA"/>
        </w:rPr>
        <w:t>.</w:t>
      </w:r>
    </w:p>
    <w:p w:rsidR="00A01E0E" w:rsidRPr="00411776" w:rsidP="00A01E0E" w14:paraId="7BC232BE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7757D2A5" w14:textId="4A92A5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373D17" w:rsidR="00373D17">
        <w:rPr>
          <w:sz w:val="28"/>
          <w:szCs w:val="28"/>
          <w:lang w:val="uk-UA"/>
        </w:rPr>
        <w:t>ЦИФРОВІ ПІДПРИЄМСТВА, ІНДУСТРІЯ 4.0, КІБЕРСТІЙКІСТЬ, МЕТОДИ УПРАВЛІННЯ КІБЕРСТІЙКІСТЮ, ПМБ, ІНФОРМАЦІЙНА ІНФРАСТРУКТУРА, NIST 7621, ІНФОРМАЦІЙНА ІНФРАСТРУКТУРА, КОРПОРАТИВНА МЕРЕЖА, БЕЗПЕРЕРВНІСТЬ, МАЛИЙ БІЗНЕС, КІБЕРБЕЗПЕКА, NIST CYBERSECURITY FRAMEWORK</w:t>
      </w:r>
    </w:p>
    <w:p w:rsidR="00A01E0E" w:rsidP="00A01E0E" w14:paraId="7F38FC4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3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